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after="0"/>
        <w:jc w:val="center"/>
        <w:rPr>
          <w:rFonts w:hint="eastAsia" w:ascii="宋体" w:hAnsi="宋体" w:eastAsia="宋体" w:cs="Times New Roman"/>
          <w:b/>
          <w:bCs w:val="0"/>
          <w:kern w:val="2"/>
          <w:sz w:val="28"/>
          <w:szCs w:val="28"/>
          <w:lang w:val="en-US" w:eastAsia="zh-CN" w:bidi="ar-SA"/>
        </w:rPr>
      </w:pPr>
      <w:bookmarkStart w:id="2" w:name="_GoBack"/>
      <w:r>
        <w:rPr>
          <w:rFonts w:hint="eastAsia" w:ascii="宋体" w:hAnsi="宋体" w:eastAsia="宋体" w:cs="Times New Roman"/>
          <w:b/>
          <w:bCs w:val="0"/>
          <w:kern w:val="2"/>
          <w:sz w:val="28"/>
          <w:szCs w:val="28"/>
          <w:lang w:val="en-US" w:eastAsia="zh-CN" w:bidi="ar-SA"/>
        </w:rPr>
        <w:t>附件2:        设备外观油漆复涂施工工程项目验收标准</w:t>
      </w:r>
    </w:p>
    <w:bookmarkEnd w:id="2"/>
    <w:p>
      <w:pPr>
        <w:jc w:val="center"/>
        <w:rPr>
          <w:rFonts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60" w:lineRule="exact"/>
        <w:ind w:firstLine="482" w:firstLineChars="200"/>
        <w:textAlignment w:val="auto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一、项目内容</w:t>
      </w:r>
    </w:p>
    <w:p>
      <w:pPr>
        <w:pStyle w:val="3"/>
        <w:keepNext w:val="0"/>
        <w:keepLines w:val="0"/>
        <w:pageBreakBefore w:val="0"/>
        <w:tabs>
          <w:tab w:val="clear" w:pos="993"/>
          <w:tab w:val="clear" w:pos="1134"/>
        </w:tabs>
        <w:kinsoku/>
        <w:wordWrap/>
        <w:overflowPunct/>
        <w:topLinePunct w:val="0"/>
        <w:bidi w:val="0"/>
        <w:snapToGrid/>
        <w:spacing w:after="0" w:line="460" w:lineRule="exact"/>
        <w:ind w:left="0" w:leftChars="0" w:firstLine="560" w:firstLineChars="200"/>
        <w:textAlignment w:val="auto"/>
        <w:rPr>
          <w:rFonts w:hint="eastAsia"/>
        </w:rPr>
      </w:pPr>
      <w:r>
        <w:rPr>
          <w:rFonts w:hint="eastAsia"/>
          <w:lang w:eastAsia="zh-CN"/>
        </w:rPr>
        <w:t>铸造、机械加工设备外观油漆复涂</w:t>
      </w:r>
      <w:r>
        <w:rPr>
          <w:rFonts w:hint="eastAsia"/>
        </w:rPr>
        <w:t>（</w:t>
      </w:r>
      <w:r>
        <w:rPr>
          <w:rFonts w:hint="eastAsia"/>
          <w:lang w:eastAsia="zh-CN"/>
        </w:rPr>
        <w:t>总台数</w:t>
      </w:r>
      <w:r>
        <w:rPr>
          <w:rFonts w:hint="eastAsia"/>
        </w:rPr>
        <w:t>约</w:t>
      </w:r>
      <w:r>
        <w:rPr>
          <w:rFonts w:hint="eastAsia"/>
          <w:lang w:val="en-US" w:eastAsia="zh-CN"/>
        </w:rPr>
        <w:t>420台</w:t>
      </w:r>
      <w:r>
        <w:rPr>
          <w:rFonts w:hint="eastAsia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60" w:lineRule="exact"/>
        <w:ind w:firstLine="482" w:firstLineChars="200"/>
        <w:textAlignment w:val="auto"/>
        <w:outlineLvl w:val="1"/>
        <w:rPr>
          <w:rFonts w:hint="eastAsia"/>
          <w:sz w:val="24"/>
        </w:rPr>
      </w:pPr>
      <w:bookmarkStart w:id="0" w:name="_Toc262685023"/>
      <w:r>
        <w:rPr>
          <w:rFonts w:hint="eastAsia"/>
          <w:b/>
          <w:sz w:val="24"/>
        </w:rPr>
        <w:t>二、项目内容</w:t>
      </w:r>
      <w:bookmarkEnd w:id="0"/>
    </w:p>
    <w:p>
      <w:pPr>
        <w:pStyle w:val="3"/>
        <w:keepNext w:val="0"/>
        <w:keepLines w:val="0"/>
        <w:pageBreakBefore w:val="0"/>
        <w:tabs>
          <w:tab w:val="clear" w:pos="993"/>
          <w:tab w:val="clear" w:pos="1134"/>
        </w:tabs>
        <w:kinsoku/>
        <w:wordWrap/>
        <w:overflowPunct/>
        <w:topLinePunct w:val="0"/>
        <w:bidi w:val="0"/>
        <w:snapToGrid/>
        <w:spacing w:after="0" w:line="460" w:lineRule="exact"/>
        <w:ind w:left="0" w:leftChars="0" w:firstLine="56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设备复涂表面</w:t>
      </w:r>
      <w:r>
        <w:rPr>
          <w:rFonts w:hint="eastAsia"/>
          <w:lang w:eastAsia="zh-CN"/>
        </w:rPr>
        <w:t>清洁</w:t>
      </w:r>
      <w:r>
        <w:rPr>
          <w:rFonts w:hint="eastAsia"/>
        </w:rPr>
        <w:t>；</w:t>
      </w:r>
    </w:p>
    <w:p>
      <w:pPr>
        <w:pStyle w:val="3"/>
        <w:keepNext w:val="0"/>
        <w:keepLines w:val="0"/>
        <w:pageBreakBefore w:val="0"/>
        <w:tabs>
          <w:tab w:val="clear" w:pos="993"/>
          <w:tab w:val="clear" w:pos="1134"/>
        </w:tabs>
        <w:kinsoku/>
        <w:wordWrap/>
        <w:overflowPunct/>
        <w:topLinePunct w:val="0"/>
        <w:bidi w:val="0"/>
        <w:snapToGrid/>
        <w:spacing w:after="0" w:line="460" w:lineRule="exact"/>
        <w:ind w:left="0" w:leftChars="0" w:firstLine="56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设备表面油漆损坏、钢结构锈蚀处，进行打磨修补；</w:t>
      </w:r>
    </w:p>
    <w:p>
      <w:pPr>
        <w:pStyle w:val="3"/>
        <w:keepNext w:val="0"/>
        <w:keepLines w:val="0"/>
        <w:pageBreakBefore w:val="0"/>
        <w:tabs>
          <w:tab w:val="clear" w:pos="993"/>
          <w:tab w:val="clear" w:pos="1134"/>
        </w:tabs>
        <w:kinsoku/>
        <w:wordWrap/>
        <w:overflowPunct/>
        <w:topLinePunct w:val="0"/>
        <w:bidi w:val="0"/>
        <w:snapToGrid/>
        <w:spacing w:after="0" w:line="460" w:lineRule="exact"/>
        <w:ind w:left="0" w:leftChars="0" w:firstLine="56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局部锈蚀点修补底漆、面漆；</w:t>
      </w:r>
    </w:p>
    <w:p>
      <w:pPr>
        <w:pStyle w:val="3"/>
        <w:keepNext w:val="0"/>
        <w:keepLines w:val="0"/>
        <w:pageBreakBefore w:val="0"/>
        <w:tabs>
          <w:tab w:val="clear" w:pos="993"/>
          <w:tab w:val="clear" w:pos="1134"/>
        </w:tabs>
        <w:kinsoku/>
        <w:wordWrap/>
        <w:overflowPunct/>
        <w:topLinePunct w:val="0"/>
        <w:bidi w:val="0"/>
        <w:snapToGrid/>
        <w:spacing w:after="0" w:line="460" w:lineRule="exact"/>
        <w:ind w:left="0" w:leftChars="0" w:firstLine="560" w:firstLineChars="200"/>
        <w:textAlignment w:val="auto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设备表面能见部位进行油漆复涂</w:t>
      </w:r>
      <w:r>
        <w:rPr>
          <w:rFonts w:hint="eastAsia"/>
          <w:lang w:eastAsia="zh-CN"/>
        </w:rPr>
        <w:t>（颜色根据招标方需求）。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firstLine="602" w:firstLineChars="250"/>
        <w:textAlignment w:val="auto"/>
        <w:outlineLvl w:val="1"/>
        <w:rPr>
          <w:rFonts w:hint="eastAsia"/>
          <w:b/>
          <w:sz w:val="24"/>
        </w:rPr>
      </w:pPr>
      <w:bookmarkStart w:id="1" w:name="_Toc262685024"/>
      <w:r>
        <w:rPr>
          <w:rFonts w:hint="eastAsia"/>
          <w:b/>
          <w:sz w:val="24"/>
        </w:rPr>
        <w:t>三、</w:t>
      </w:r>
      <w:bookmarkEnd w:id="1"/>
      <w:r>
        <w:rPr>
          <w:rFonts w:hint="eastAsia"/>
          <w:b/>
          <w:sz w:val="24"/>
        </w:rPr>
        <w:t>验收标准</w:t>
      </w:r>
    </w:p>
    <w:p>
      <w:pPr>
        <w:pStyle w:val="3"/>
        <w:keepNext w:val="0"/>
        <w:keepLines w:val="0"/>
        <w:pageBreakBefore w:val="0"/>
        <w:tabs>
          <w:tab w:val="clear" w:pos="993"/>
          <w:tab w:val="clear" w:pos="1134"/>
        </w:tabs>
        <w:kinsoku/>
        <w:wordWrap/>
        <w:overflowPunct/>
        <w:topLinePunct w:val="0"/>
        <w:bidi w:val="0"/>
        <w:snapToGrid/>
        <w:spacing w:after="0" w:line="460" w:lineRule="exact"/>
        <w:ind w:left="0" w:leftChars="0" w:firstLine="560" w:firstLineChars="200"/>
        <w:textAlignment w:val="auto"/>
        <w:rPr>
          <w:rFonts w:hint="eastAsia"/>
        </w:rPr>
      </w:pPr>
      <w:r>
        <w:rPr>
          <w:rFonts w:hint="eastAsia"/>
          <w:lang w:eastAsia="zh-CN"/>
        </w:rPr>
        <w:t>按照</w:t>
      </w:r>
      <w:r>
        <w:rPr>
          <w:rFonts w:hint="eastAsia"/>
        </w:rPr>
        <w:t>投标方</w:t>
      </w:r>
      <w:r>
        <w:rPr>
          <w:rFonts w:hint="eastAsia"/>
          <w:lang w:eastAsia="zh-CN"/>
        </w:rPr>
        <w:t>投标文件表述的施工工艺标准，</w:t>
      </w:r>
      <w:r>
        <w:rPr>
          <w:rFonts w:hint="eastAsia"/>
        </w:rPr>
        <w:t>在施工过程中招标方将逐一对项目施工的内容和要求进行检查。投标方在项目全部完成后二天内通知招标方进行项目验收，验收合格后招标方在验收单上签字确认。验收内容如下：</w:t>
      </w:r>
    </w:p>
    <w:p>
      <w:pPr>
        <w:pStyle w:val="3"/>
        <w:keepNext w:val="0"/>
        <w:keepLines w:val="0"/>
        <w:pageBreakBefore w:val="0"/>
        <w:numPr>
          <w:ilvl w:val="0"/>
          <w:numId w:val="1"/>
        </w:numPr>
        <w:tabs>
          <w:tab w:val="clear" w:pos="993"/>
          <w:tab w:val="clear" w:pos="1134"/>
        </w:tabs>
        <w:kinsoku/>
        <w:wordWrap/>
        <w:overflowPunct/>
        <w:topLinePunct w:val="0"/>
        <w:bidi w:val="0"/>
        <w:snapToGrid/>
        <w:spacing w:after="0" w:line="460" w:lineRule="exact"/>
        <w:ind w:left="0" w:leftChars="0" w:firstLine="560" w:firstLineChars="200"/>
        <w:textAlignment w:val="auto"/>
        <w:rPr>
          <w:rFonts w:hint="eastAsia" w:ascii="Times New Roman" w:hAnsi="Times New Roman" w:cs="Times New Roman"/>
        </w:rPr>
      </w:pPr>
      <w:r>
        <w:rPr>
          <w:rFonts w:hint="eastAsia"/>
        </w:rPr>
        <w:t>油漆涂层表面应平整、均匀，涂层应无漏涂、起泡、针孔、裂纹、返锈，分色线清晰</w:t>
      </w:r>
      <w:r>
        <w:rPr>
          <w:rFonts w:hint="eastAsia"/>
          <w:lang w:eastAsia="zh-CN"/>
        </w:rPr>
        <w:t>，</w:t>
      </w:r>
      <w:r>
        <w:rPr>
          <w:rFonts w:hint="eastAsia" w:ascii="Times New Roman" w:hAnsi="Times New Roman" w:cs="Times New Roman"/>
        </w:rPr>
        <w:t>不同的设备及同一台设备不同位置，</w:t>
      </w:r>
      <w:r>
        <w:rPr>
          <w:rFonts w:hint="eastAsia" w:ascii="Times New Roman" w:hAnsi="Times New Roman" w:cs="Times New Roman"/>
          <w:lang w:eastAsia="zh-CN"/>
        </w:rPr>
        <w:t>无出现</w:t>
      </w:r>
      <w:r>
        <w:rPr>
          <w:rFonts w:hint="eastAsia" w:ascii="Times New Roman" w:hAnsi="Times New Roman" w:cs="Times New Roman"/>
        </w:rPr>
        <w:t>目视明显的色差。</w:t>
      </w:r>
    </w:p>
    <w:p>
      <w:pPr>
        <w:pStyle w:val="3"/>
        <w:keepNext w:val="0"/>
        <w:keepLines w:val="0"/>
        <w:pageBreakBefore w:val="0"/>
        <w:tabs>
          <w:tab w:val="clear" w:pos="993"/>
          <w:tab w:val="clear" w:pos="1134"/>
        </w:tabs>
        <w:kinsoku/>
        <w:wordWrap/>
        <w:overflowPunct/>
        <w:topLinePunct w:val="0"/>
        <w:bidi w:val="0"/>
        <w:snapToGrid/>
        <w:spacing w:after="0" w:line="460" w:lineRule="exact"/>
        <w:ind w:left="0" w:leftChars="0" w:firstLine="560" w:firstLineChars="200"/>
        <w:textAlignment w:val="auto"/>
        <w:rPr>
          <w:rFonts w:hint="eastAsia"/>
        </w:rPr>
      </w:pPr>
      <w:r>
        <w:rPr>
          <w:rFonts w:hint="eastAsia" w:ascii="Times New Roman" w:hAnsi="Times New Roman" w:cs="Times New Roman"/>
          <w:lang w:val="en-US" w:eastAsia="zh-CN"/>
        </w:rPr>
        <w:t>2、</w:t>
      </w:r>
      <w:r>
        <w:rPr>
          <w:rFonts w:hint="eastAsia" w:ascii="Times New Roman" w:hAnsi="Times New Roman" w:cs="Times New Roman"/>
        </w:rPr>
        <w:t>漆面附着力要符合国家标准，</w:t>
      </w:r>
      <w:r>
        <w:rPr>
          <w:rFonts w:hint="eastAsia" w:ascii="Times New Roman" w:hAnsi="Times New Roman" w:cs="Times New Roman"/>
          <w:lang w:eastAsia="zh-CN"/>
        </w:rPr>
        <w:t>满足</w:t>
      </w:r>
      <w:r>
        <w:rPr>
          <w:rFonts w:hint="eastAsia" w:ascii="Times New Roman" w:hAnsi="Times New Roman" w:cs="Times New Roman"/>
        </w:rPr>
        <w:t>正常室温环境下使用，</w:t>
      </w:r>
      <w:r>
        <w:rPr>
          <w:rFonts w:hint="eastAsia"/>
        </w:rPr>
        <w:t>自项目验收合格之日起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年内，保证复涂后的油漆不出现起壳、剥落、起泡、针孔、裂纹、钢材不产生反锈等现象。</w:t>
      </w:r>
    </w:p>
    <w:p>
      <w:pPr>
        <w:pStyle w:val="3"/>
        <w:keepNext w:val="0"/>
        <w:keepLines w:val="0"/>
        <w:pageBreakBefore w:val="0"/>
        <w:tabs>
          <w:tab w:val="clear" w:pos="993"/>
          <w:tab w:val="clear" w:pos="1134"/>
        </w:tabs>
        <w:kinsoku/>
        <w:wordWrap/>
        <w:overflowPunct/>
        <w:topLinePunct w:val="0"/>
        <w:bidi w:val="0"/>
        <w:snapToGrid/>
        <w:spacing w:after="0" w:line="460" w:lineRule="exact"/>
        <w:ind w:left="0" w:leftChars="0" w:firstLine="560" w:firstLineChars="200"/>
        <w:textAlignment w:val="auto"/>
        <w:rPr>
          <w:rFonts w:hint="eastAsia" w:ascii="Times New Roman" w:hAnsi="Times New Roman" w:cs="Times New Roman"/>
          <w:lang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3、设备机台附属的</w:t>
      </w:r>
      <w:r>
        <w:rPr>
          <w:rFonts w:hint="eastAsia" w:ascii="Times New Roman" w:hAnsi="Times New Roman" w:cs="Times New Roman"/>
        </w:rPr>
        <w:t>各</w:t>
      </w:r>
      <w:r>
        <w:rPr>
          <w:rFonts w:hint="eastAsia" w:ascii="Times New Roman" w:hAnsi="Times New Roman" w:cs="Times New Roman"/>
          <w:lang w:eastAsia="zh-CN"/>
        </w:rPr>
        <w:t>种</w:t>
      </w:r>
      <w:r>
        <w:rPr>
          <w:rFonts w:hint="eastAsia" w:ascii="Times New Roman" w:hAnsi="Times New Roman" w:cs="Times New Roman"/>
        </w:rPr>
        <w:t>开关、按钮、控制面板、刻度盘、玻璃和标识牌等不能被漆面覆盖</w:t>
      </w:r>
      <w:r>
        <w:rPr>
          <w:rFonts w:hint="eastAsia" w:ascii="Times New Roman" w:hAnsi="Times New Roman" w:cs="Times New Roman"/>
          <w:lang w:eastAsia="zh-CN"/>
        </w:rPr>
        <w:t>。</w:t>
      </w:r>
    </w:p>
    <w:p>
      <w:pPr>
        <w:pStyle w:val="3"/>
        <w:keepNext w:val="0"/>
        <w:keepLines w:val="0"/>
        <w:pageBreakBefore w:val="0"/>
        <w:tabs>
          <w:tab w:val="clear" w:pos="993"/>
          <w:tab w:val="clear" w:pos="1134"/>
        </w:tabs>
        <w:kinsoku/>
        <w:wordWrap/>
        <w:overflowPunct/>
        <w:topLinePunct w:val="0"/>
        <w:bidi w:val="0"/>
        <w:snapToGrid/>
        <w:spacing w:after="0" w:line="460" w:lineRule="exact"/>
        <w:ind w:left="0" w:leftChars="0" w:firstLine="560" w:firstLineChars="200"/>
        <w:textAlignment w:val="auto"/>
        <w:rPr>
          <w:rFonts w:hint="eastAsia"/>
        </w:rPr>
      </w:pPr>
      <w:r>
        <w:rPr>
          <w:rFonts w:hint="eastAsia" w:ascii="Times New Roman" w:hAnsi="Times New Roman" w:cs="Times New Roman"/>
          <w:lang w:val="en-US" w:eastAsia="zh-CN"/>
        </w:rPr>
        <w:t>4、</w:t>
      </w:r>
      <w:r>
        <w:rPr>
          <w:rFonts w:hint="eastAsia"/>
        </w:rPr>
        <w:t>质保期内出现质量问题，中标方应</w:t>
      </w:r>
      <w:r>
        <w:rPr>
          <w:rFonts w:hint="eastAsia"/>
          <w:lang w:eastAsia="zh-CN"/>
        </w:rPr>
        <w:t>在</w:t>
      </w:r>
      <w:r>
        <w:rPr>
          <w:rFonts w:hint="eastAsia"/>
          <w:lang w:val="en-US" w:eastAsia="zh-CN"/>
        </w:rPr>
        <w:t>24小时内响应并</w:t>
      </w:r>
      <w:r>
        <w:rPr>
          <w:rFonts w:hint="eastAsia"/>
        </w:rPr>
        <w:t>提供质保服务。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E5AFD"/>
    <w:multiLevelType w:val="singleLevel"/>
    <w:tmpl w:val="5AAE5AF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85755"/>
    <w:rsid w:val="4C585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